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28895AB5" w:rsidR="008F3283" w:rsidRPr="00CA65F5" w:rsidRDefault="00946496" w:rsidP="00690F53">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WG1 #</w:t>
      </w:r>
      <w:r w:rsidR="00375359" w:rsidRPr="00CA65F5">
        <w:rPr>
          <w:rFonts w:eastAsiaTheme="minorHAnsi" w:cs="Arial"/>
          <w:b/>
          <w:bCs/>
          <w:sz w:val="24"/>
          <w:szCs w:val="24"/>
          <w:lang w:val="en-US"/>
        </w:rPr>
        <w:t>10</w:t>
      </w:r>
      <w:r w:rsidR="00400C37">
        <w:rPr>
          <w:rFonts w:eastAsiaTheme="minorHAnsi" w:cs="Arial"/>
          <w:b/>
          <w:bCs/>
          <w:sz w:val="24"/>
          <w:szCs w:val="24"/>
          <w:lang w:val="en-US"/>
        </w:rPr>
        <w:t>3</w:t>
      </w:r>
      <w:r w:rsidR="00CB78A7" w:rsidRPr="00CA65F5">
        <w:rPr>
          <w:rFonts w:eastAsiaTheme="minorHAnsi" w:cs="Arial"/>
          <w:b/>
          <w:bCs/>
          <w:sz w:val="24"/>
          <w:szCs w:val="24"/>
          <w:lang w:val="en-US"/>
        </w:rPr>
        <w:t>-e</w:t>
      </w:r>
      <w:r w:rsidR="008F3283" w:rsidRPr="00CA65F5">
        <w:rPr>
          <w:rFonts w:eastAsiaTheme="minorHAnsi" w:cs="Arial"/>
          <w:b/>
          <w:bCs/>
          <w:sz w:val="24"/>
          <w:szCs w:val="24"/>
          <w:lang w:val="en-US"/>
        </w:rPr>
        <w:tab/>
      </w:r>
      <w:r w:rsidR="008F3283" w:rsidRPr="00CA65F5">
        <w:rPr>
          <w:rFonts w:eastAsiaTheme="minorHAnsi" w:cs="Arial"/>
          <w:b/>
          <w:bCs/>
          <w:sz w:val="24"/>
          <w:szCs w:val="24"/>
          <w:lang w:val="en-US"/>
        </w:rPr>
        <w:tab/>
        <w:t xml:space="preserve">                                    </w:t>
      </w:r>
      <w:r w:rsidR="006C5181" w:rsidRPr="006C5181">
        <w:rPr>
          <w:rFonts w:eastAsiaTheme="minorHAnsi" w:cs="Arial"/>
          <w:b/>
          <w:bCs/>
          <w:sz w:val="24"/>
          <w:szCs w:val="24"/>
          <w:lang w:val="en-US"/>
        </w:rPr>
        <w:t>R1-</w:t>
      </w:r>
      <w:r w:rsidR="00400C37" w:rsidRPr="006C5181">
        <w:rPr>
          <w:rFonts w:eastAsiaTheme="minorHAnsi" w:cs="Arial"/>
          <w:b/>
          <w:bCs/>
          <w:sz w:val="24"/>
          <w:szCs w:val="24"/>
          <w:lang w:val="en-US"/>
        </w:rPr>
        <w:t>200</w:t>
      </w:r>
      <w:r w:rsidR="00A76D62">
        <w:rPr>
          <w:rFonts w:eastAsiaTheme="minorHAnsi" w:cs="Arial"/>
          <w:b/>
          <w:bCs/>
          <w:sz w:val="24"/>
          <w:szCs w:val="24"/>
          <w:lang w:val="en-US"/>
        </w:rPr>
        <w:t>8688</w:t>
      </w:r>
    </w:p>
    <w:p w14:paraId="39B7D975" w14:textId="77777777" w:rsidR="00164016" w:rsidRDefault="00164016" w:rsidP="00164016">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 xml:space="preserve">e-Meeting, </w:t>
      </w:r>
      <w:r w:rsidRPr="00F51224">
        <w:rPr>
          <w:rFonts w:eastAsiaTheme="minorEastAsia" w:cs="Arial"/>
          <w:b/>
          <w:bCs/>
          <w:sz w:val="24"/>
          <w:szCs w:val="22"/>
          <w:lang w:val="en-US" w:eastAsia="ko-KR"/>
        </w:rPr>
        <w:t>October 26th – November 13th, 2020</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55FC5D3D"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364B5" w:rsidRPr="00CA65F5">
        <w:rPr>
          <w:rFonts w:cs="Arial"/>
          <w:b/>
          <w:bCs/>
          <w:sz w:val="24"/>
          <w:szCs w:val="24"/>
          <w:lang w:val="en-US"/>
        </w:rPr>
        <w:t>8.</w:t>
      </w:r>
      <w:r w:rsidR="002D7BDB" w:rsidRPr="00CA65F5">
        <w:rPr>
          <w:rFonts w:cs="Arial"/>
          <w:b/>
          <w:bCs/>
          <w:sz w:val="24"/>
          <w:szCs w:val="24"/>
          <w:lang w:val="en-US"/>
        </w:rPr>
        <w:t>6</w:t>
      </w:r>
      <w:r w:rsidR="001E17DF" w:rsidRPr="00CA65F5">
        <w:rPr>
          <w:rFonts w:cs="Arial"/>
          <w:b/>
          <w:bCs/>
          <w:sz w:val="24"/>
          <w:szCs w:val="24"/>
          <w:lang w:val="en-US"/>
        </w:rPr>
        <w:t>.</w:t>
      </w:r>
      <w:r w:rsidR="006C5181">
        <w:rPr>
          <w:rFonts w:cs="Arial"/>
          <w:b/>
          <w:bCs/>
          <w:sz w:val="24"/>
          <w:szCs w:val="24"/>
          <w:lang w:val="en-US"/>
        </w:rPr>
        <w:t>5</w:t>
      </w:r>
    </w:p>
    <w:p w14:paraId="186753AF" w14:textId="3BDFC73C" w:rsidR="00FA20F7" w:rsidRPr="00CA65F5" w:rsidRDefault="0092027E" w:rsidP="00690F53">
      <w:pPr>
        <w:tabs>
          <w:tab w:val="left" w:pos="1985"/>
        </w:tabs>
        <w:rPr>
          <w:rFonts w:ascii="Arial" w:hAnsi="Arial" w:cs="Arial"/>
          <w:bCs/>
        </w:rPr>
      </w:pPr>
      <w:r w:rsidRPr="00CA65F5">
        <w:rPr>
          <w:rFonts w:ascii="Arial" w:hAnsi="Arial" w:cs="Arial"/>
          <w:b/>
          <w:bCs/>
        </w:rPr>
        <w:t>Source:</w:t>
      </w:r>
      <w:r w:rsidRPr="00CA65F5">
        <w:rPr>
          <w:rFonts w:ascii="Arial" w:hAnsi="Arial" w:cs="Arial"/>
          <w:b/>
          <w:bCs/>
        </w:rPr>
        <w:tab/>
        <w:t>InterDigital</w:t>
      </w:r>
      <w:r w:rsidR="0017254A">
        <w:rPr>
          <w:rFonts w:ascii="Arial" w:hAnsi="Arial" w:cs="Arial"/>
          <w:b/>
          <w:bCs/>
        </w:rPr>
        <w:t>,</w:t>
      </w:r>
      <w:r w:rsidR="00E17A3B" w:rsidRPr="00CA65F5">
        <w:rPr>
          <w:rFonts w:ascii="Arial" w:hAnsi="Arial" w:cs="Arial"/>
          <w:b/>
          <w:bCs/>
        </w:rPr>
        <w:t xml:space="preserve"> </w:t>
      </w:r>
      <w:r w:rsidR="001E0E46" w:rsidRPr="00CA65F5">
        <w:rPr>
          <w:rFonts w:ascii="Arial" w:hAnsi="Arial" w:cs="Arial"/>
          <w:b/>
          <w:bCs/>
        </w:rPr>
        <w:t>Inc.</w:t>
      </w:r>
    </w:p>
    <w:p w14:paraId="4F02292E" w14:textId="5C29E4D5" w:rsidR="00FA20F7" w:rsidRPr="00CA65F5" w:rsidRDefault="00FA20F7" w:rsidP="00690F53">
      <w:pPr>
        <w:ind w:left="1985" w:hanging="1985"/>
        <w:rPr>
          <w:rFonts w:ascii="Arial" w:hAnsi="Arial" w:cs="Arial"/>
          <w:b/>
          <w:bCs/>
          <w:lang w:val="en-GB"/>
        </w:rPr>
      </w:pPr>
      <w:r w:rsidRPr="00CA65F5">
        <w:rPr>
          <w:rFonts w:ascii="Arial" w:hAnsi="Arial" w:cs="Arial"/>
          <w:b/>
          <w:bCs/>
        </w:rPr>
        <w:t>Title:</w:t>
      </w:r>
      <w:r w:rsidRPr="00CA65F5">
        <w:rPr>
          <w:rFonts w:ascii="Arial" w:hAnsi="Arial" w:cs="Arial"/>
          <w:b/>
          <w:bCs/>
        </w:rPr>
        <w:tab/>
      </w:r>
      <w:r w:rsidR="00400C37">
        <w:rPr>
          <w:rFonts w:ascii="Arial" w:hAnsi="Arial" w:cs="Arial"/>
          <w:b/>
          <w:bCs/>
        </w:rPr>
        <w:t>Device identification and access restriction for RedCap</w:t>
      </w:r>
    </w:p>
    <w:p w14:paraId="20F2A3ED" w14:textId="6E198039" w:rsidR="00FA20F7" w:rsidRPr="003630F9" w:rsidRDefault="00A51E32" w:rsidP="00690F53">
      <w:pPr>
        <w:ind w:left="1985" w:hanging="1985"/>
        <w:rPr>
          <w:rFonts w:ascii="Arial" w:hAnsi="Arial" w:cs="Arial"/>
          <w:b/>
          <w:bCs/>
        </w:rPr>
      </w:pPr>
      <w:r w:rsidRPr="00CA65F5">
        <w:rPr>
          <w:rFonts w:ascii="Arial" w:hAnsi="Arial" w:cs="Arial"/>
          <w:b/>
          <w:bCs/>
        </w:rPr>
        <w:t>Document for:</w:t>
      </w:r>
      <w:r w:rsidRPr="00CA65F5">
        <w:rPr>
          <w:rFonts w:ascii="Arial" w:hAnsi="Arial" w:cs="Arial"/>
          <w:b/>
          <w:bCs/>
        </w:rPr>
        <w:tab/>
        <w:t>Discussion</w:t>
      </w:r>
    </w:p>
    <w:p w14:paraId="45A92109" w14:textId="77777777" w:rsidR="00261A3A" w:rsidRPr="003B13FE" w:rsidRDefault="00A35469" w:rsidP="00C34D28">
      <w:pPr>
        <w:pStyle w:val="Heading1"/>
        <w:rPr>
          <w:rFonts w:cs="Arial"/>
          <w:szCs w:val="32"/>
        </w:rPr>
      </w:pPr>
      <w:bookmarkStart w:id="0" w:name="_Ref513464071"/>
      <w:r w:rsidRPr="003B13FE">
        <w:rPr>
          <w:rFonts w:cs="Arial"/>
          <w:szCs w:val="32"/>
        </w:rPr>
        <w:t>Introduction</w:t>
      </w:r>
      <w:bookmarkEnd w:id="0"/>
    </w:p>
    <w:p w14:paraId="73733736" w14:textId="1721C29D" w:rsidR="001C4C20" w:rsidRPr="00FD2012" w:rsidRDefault="00FD2012" w:rsidP="0020635B">
      <w:pPr>
        <w:contextualSpacing/>
        <w:jc w:val="both"/>
        <w:rPr>
          <w:rFonts w:cs="Times New Roman"/>
        </w:rPr>
      </w:pPr>
      <w:r w:rsidRPr="00FD2012">
        <w:rPr>
          <w:rFonts w:cs="Times New Roman"/>
        </w:rPr>
        <w:t xml:space="preserve">In RAN#86, a new SI on reduced capability </w:t>
      </w:r>
      <w:r w:rsidR="00E67C6C">
        <w:rPr>
          <w:rFonts w:cs="Times New Roman"/>
        </w:rPr>
        <w:t xml:space="preserve">(RedCap) </w:t>
      </w:r>
      <w:r w:rsidRPr="00FD2012">
        <w:rPr>
          <w:rFonts w:cs="Times New Roman"/>
        </w:rPr>
        <w:t xml:space="preserve">NR devices was approved [1]. </w:t>
      </w:r>
      <w:r w:rsidR="008A2C13">
        <w:rPr>
          <w:rFonts w:cs="Times New Roman"/>
        </w:rPr>
        <w:t xml:space="preserve">Two </w:t>
      </w:r>
      <w:r w:rsidR="00A83A2E" w:rsidRPr="00FD2012">
        <w:rPr>
          <w:rFonts w:cs="Times New Roman"/>
        </w:rPr>
        <w:t>objective</w:t>
      </w:r>
      <w:r w:rsidR="008A2C13">
        <w:rPr>
          <w:rFonts w:cs="Times New Roman"/>
        </w:rPr>
        <w:t>s</w:t>
      </w:r>
      <w:r w:rsidR="00A83A2E" w:rsidRPr="00FD2012">
        <w:rPr>
          <w:rFonts w:cs="Times New Roman"/>
        </w:rPr>
        <w:t xml:space="preserve"> of the SI </w:t>
      </w:r>
      <w:r w:rsidR="008A2C13">
        <w:rPr>
          <w:rFonts w:cs="Times New Roman"/>
        </w:rPr>
        <w:t>are</w:t>
      </w:r>
    </w:p>
    <w:p w14:paraId="0533C5F9" w14:textId="77777777" w:rsidR="008A2C13" w:rsidRPr="009A742B" w:rsidRDefault="008A2C13" w:rsidP="008A2C13">
      <w:pPr>
        <w:pStyle w:val="ListParagraph"/>
        <w:numPr>
          <w:ilvl w:val="0"/>
          <w:numId w:val="31"/>
        </w:numPr>
        <w:ind w:right="-99"/>
        <w:rPr>
          <w:rFonts w:eastAsia="SimSun" w:cs="Times New Roman"/>
          <w:i/>
          <w:iCs/>
          <w:lang w:eastAsia="ja-JP"/>
        </w:rPr>
      </w:pPr>
      <w:r w:rsidRPr="0059535E">
        <w:rPr>
          <w:rFonts w:eastAsia="SimSun" w:cs="Times New Roman"/>
          <w:i/>
          <w:iCs/>
          <w:lang w:eastAsia="ja-JP"/>
        </w:rPr>
        <w:t>Study standardization framework and principles for how to define and constrain such reduced capabilities – considering definition of a limited set of one or more device types and considering how to ensure those device types are only used for</w:t>
      </w:r>
      <w:r w:rsidRPr="009A742B">
        <w:rPr>
          <w:rFonts w:eastAsia="SimSun" w:cs="Times New Roman"/>
          <w:i/>
          <w:iCs/>
          <w:lang w:eastAsia="ja-JP"/>
        </w:rPr>
        <w:t xml:space="preserve"> the intended use cases [RAN2, RAN1].</w:t>
      </w:r>
    </w:p>
    <w:p w14:paraId="2E3E9921" w14:textId="77777777" w:rsidR="008A2C13" w:rsidRPr="009A742B" w:rsidRDefault="008A2C13" w:rsidP="008A2C13">
      <w:pPr>
        <w:pStyle w:val="ListParagraph"/>
        <w:numPr>
          <w:ilvl w:val="0"/>
          <w:numId w:val="31"/>
        </w:numPr>
        <w:ind w:right="-99"/>
        <w:rPr>
          <w:rFonts w:eastAsia="SimSun" w:cs="Times New Roman"/>
          <w:i/>
          <w:iCs/>
          <w:lang w:eastAsia="ja-JP"/>
        </w:rPr>
      </w:pPr>
      <w:r w:rsidRPr="009A742B">
        <w:rPr>
          <w:rFonts w:eastAsia="SimSun" w:cs="Times New Roman"/>
          <w:i/>
          <w:iCs/>
          <w:lang w:eastAsia="ja-JP"/>
        </w:rPr>
        <w:t>Study functionality that will allow devices with reduced capabilities to be explicitly identifiable to networks and network operators, and allow operators to restrict their access, if desired [RAN2, RAN1].</w:t>
      </w:r>
    </w:p>
    <w:p w14:paraId="709D5E95" w14:textId="2BB78F74" w:rsidR="00E67C6C" w:rsidRDefault="00E67C6C" w:rsidP="0020635B">
      <w:pPr>
        <w:contextualSpacing/>
        <w:jc w:val="both"/>
        <w:rPr>
          <w:rFonts w:cs="Times New Roman"/>
        </w:rPr>
      </w:pPr>
    </w:p>
    <w:p w14:paraId="3C073161" w14:textId="7F36A8D1" w:rsidR="00400C37" w:rsidRDefault="00400C37" w:rsidP="0020635B">
      <w:pPr>
        <w:contextualSpacing/>
        <w:jc w:val="both"/>
        <w:rPr>
          <w:rFonts w:cs="Times New Roman"/>
        </w:rPr>
      </w:pPr>
      <w:r>
        <w:rPr>
          <w:rFonts w:cs="Times New Roman"/>
        </w:rPr>
        <w:t>In RAN1 #102e, the following agreement and conclusion have been made as a progress for the device identification of the RedCap UEs</w:t>
      </w:r>
      <w:r w:rsidR="00DD456B">
        <w:rPr>
          <w:rFonts w:cs="Times New Roman"/>
        </w:rPr>
        <w:t xml:space="preserve"> [2]:</w:t>
      </w:r>
    </w:p>
    <w:p w14:paraId="6FEB2A02" w14:textId="77777777" w:rsidR="00400C37" w:rsidRDefault="00400C37" w:rsidP="0020635B">
      <w:pPr>
        <w:contextualSpacing/>
        <w:jc w:val="both"/>
        <w:rPr>
          <w:rFonts w:cs="Times New Roman"/>
        </w:rPr>
      </w:pPr>
    </w:p>
    <w:p w14:paraId="72A58A11" w14:textId="77777777" w:rsidR="00400C37" w:rsidRPr="009A742B" w:rsidRDefault="00400C37" w:rsidP="00400C37">
      <w:pPr>
        <w:rPr>
          <w:rFonts w:eastAsia="Times New Roman" w:cs="Times New Roman"/>
          <w:i/>
          <w:iCs/>
          <w:color w:val="000000"/>
        </w:rPr>
      </w:pPr>
      <w:bookmarkStart w:id="1" w:name="_Hlk49352463"/>
      <w:r w:rsidRPr="009A742B">
        <w:rPr>
          <w:rFonts w:cs="Times New Roman"/>
          <w:i/>
          <w:iCs/>
          <w:color w:val="000000"/>
          <w:shd w:val="clear" w:color="auto" w:fill="00FF00"/>
        </w:rPr>
        <w:t>Agreements:</w:t>
      </w:r>
      <w:bookmarkEnd w:id="1"/>
    </w:p>
    <w:p w14:paraId="53AE9A72" w14:textId="77777777" w:rsidR="00400C37" w:rsidRPr="009A742B" w:rsidRDefault="00400C37" w:rsidP="00190196">
      <w:pPr>
        <w:pStyle w:val="ListParagraph"/>
        <w:numPr>
          <w:ilvl w:val="0"/>
          <w:numId w:val="35"/>
        </w:numPr>
        <w:rPr>
          <w:rFonts w:cs="Times New Roman"/>
          <w:i/>
          <w:iCs/>
          <w:color w:val="000000"/>
        </w:rPr>
      </w:pPr>
      <w:r w:rsidRPr="009A742B">
        <w:rPr>
          <w:rFonts w:cs="Times New Roman"/>
          <w:i/>
          <w:iCs/>
          <w:color w:val="000000"/>
          <w:lang w:val="en-GB"/>
        </w:rPr>
        <w:t>Further study the options for identification of RedCap UEs, including</w:t>
      </w:r>
      <w:r w:rsidRPr="009A742B">
        <w:rPr>
          <w:rStyle w:val="apple-converted-space"/>
          <w:rFonts w:cs="Times New Roman"/>
          <w:i/>
          <w:iCs/>
          <w:color w:val="000000"/>
          <w:lang w:val="en-GB"/>
        </w:rPr>
        <w:t> </w:t>
      </w:r>
      <w:r w:rsidRPr="009A742B">
        <w:rPr>
          <w:rFonts w:cs="Times New Roman"/>
          <w:i/>
          <w:iCs/>
          <w:strike/>
          <w:color w:val="000000"/>
          <w:lang w:val="en-GB"/>
        </w:rPr>
        <w:t>at least</w:t>
      </w:r>
      <w:r w:rsidRPr="009A742B">
        <w:rPr>
          <w:rStyle w:val="apple-converted-space"/>
          <w:rFonts w:cs="Times New Roman"/>
          <w:i/>
          <w:iCs/>
          <w:color w:val="000000"/>
          <w:lang w:val="en-GB"/>
        </w:rPr>
        <w:t> </w:t>
      </w:r>
      <w:r w:rsidRPr="009A742B">
        <w:rPr>
          <w:rFonts w:cs="Times New Roman"/>
          <w:i/>
          <w:iCs/>
          <w:color w:val="000000"/>
          <w:lang w:val="en-GB"/>
        </w:rPr>
        <w:t>the following indication methods:</w:t>
      </w:r>
    </w:p>
    <w:p w14:paraId="6C67F362" w14:textId="77777777" w:rsidR="00400C37" w:rsidRPr="009A742B" w:rsidRDefault="00400C37" w:rsidP="00190196">
      <w:pPr>
        <w:pStyle w:val="ListParagraph"/>
        <w:numPr>
          <w:ilvl w:val="1"/>
          <w:numId w:val="35"/>
        </w:numPr>
        <w:rPr>
          <w:rFonts w:cs="Times New Roman"/>
          <w:i/>
          <w:iCs/>
          <w:color w:val="000000"/>
        </w:rPr>
      </w:pPr>
      <w:r w:rsidRPr="009A742B">
        <w:rPr>
          <w:rFonts w:cs="Times New Roman"/>
          <w:i/>
          <w:iCs/>
          <w:color w:val="000000"/>
          <w:lang w:val="en-GB"/>
        </w:rPr>
        <w:t>Opt. 1: During Msg1 transmission, e.g., via separate initial UL BWP, separate PRACH resource, or PRACH preamble partitioning.</w:t>
      </w:r>
    </w:p>
    <w:p w14:paraId="6AF0ECFC" w14:textId="77777777" w:rsidR="00400C37" w:rsidRPr="009A742B" w:rsidRDefault="00400C37" w:rsidP="00190196">
      <w:pPr>
        <w:pStyle w:val="ListParagraph"/>
        <w:numPr>
          <w:ilvl w:val="1"/>
          <w:numId w:val="35"/>
        </w:numPr>
        <w:rPr>
          <w:rFonts w:cs="Times New Roman"/>
          <w:i/>
          <w:iCs/>
          <w:color w:val="000000"/>
        </w:rPr>
      </w:pPr>
      <w:r w:rsidRPr="009A742B">
        <w:rPr>
          <w:rFonts w:cs="Times New Roman"/>
          <w:i/>
          <w:iCs/>
          <w:color w:val="000000"/>
          <w:lang w:val="en-GB"/>
        </w:rPr>
        <w:t>Opt. 2: During Msg3 transmission.</w:t>
      </w:r>
      <w:r w:rsidRPr="009A742B">
        <w:rPr>
          <w:rStyle w:val="apple-converted-space"/>
          <w:rFonts w:cs="Times New Roman"/>
          <w:i/>
          <w:iCs/>
          <w:color w:val="000000"/>
          <w:lang w:val="en-GB"/>
        </w:rPr>
        <w:t> </w:t>
      </w:r>
    </w:p>
    <w:p w14:paraId="37C07F73" w14:textId="77777777" w:rsidR="00400C37" w:rsidRPr="009A742B" w:rsidRDefault="00400C37" w:rsidP="00190196">
      <w:pPr>
        <w:pStyle w:val="ListParagraph"/>
        <w:numPr>
          <w:ilvl w:val="1"/>
          <w:numId w:val="35"/>
        </w:numPr>
        <w:rPr>
          <w:rFonts w:cs="Times New Roman"/>
          <w:i/>
          <w:iCs/>
          <w:color w:val="000000"/>
        </w:rPr>
      </w:pPr>
      <w:r w:rsidRPr="009A742B">
        <w:rPr>
          <w:rFonts w:cs="Times New Roman"/>
          <w:i/>
          <w:iCs/>
          <w:color w:val="000000"/>
          <w:lang w:val="en-GB"/>
        </w:rPr>
        <w:t>Opt. 3: Post Msg4 acknowledgment.</w:t>
      </w:r>
      <w:r w:rsidRPr="009A742B">
        <w:rPr>
          <w:rStyle w:val="apple-converted-space"/>
          <w:rFonts w:cs="Times New Roman"/>
          <w:i/>
          <w:iCs/>
          <w:color w:val="000000"/>
          <w:lang w:val="en-GB"/>
        </w:rPr>
        <w:t> </w:t>
      </w:r>
    </w:p>
    <w:p w14:paraId="6EE63B03" w14:textId="77777777" w:rsidR="00400C37" w:rsidRPr="009A742B" w:rsidRDefault="00400C37" w:rsidP="00190196">
      <w:pPr>
        <w:pStyle w:val="ListParagraph"/>
        <w:numPr>
          <w:ilvl w:val="2"/>
          <w:numId w:val="35"/>
        </w:numPr>
        <w:rPr>
          <w:rFonts w:cs="Times New Roman"/>
          <w:i/>
          <w:iCs/>
          <w:color w:val="000000"/>
        </w:rPr>
      </w:pPr>
      <w:r w:rsidRPr="009A742B">
        <w:rPr>
          <w:rFonts w:cs="Times New Roman"/>
          <w:i/>
          <w:iCs/>
          <w:color w:val="000000"/>
          <w:lang w:val="en-GB"/>
        </w:rPr>
        <w:t>E.g., during Msg5 transmission or part of UE capability reporting.</w:t>
      </w:r>
    </w:p>
    <w:p w14:paraId="1172D2EF" w14:textId="77777777" w:rsidR="00400C37" w:rsidRPr="009A742B" w:rsidRDefault="00400C37" w:rsidP="00190196">
      <w:pPr>
        <w:pStyle w:val="ListParagraph"/>
        <w:numPr>
          <w:ilvl w:val="1"/>
          <w:numId w:val="35"/>
        </w:numPr>
        <w:rPr>
          <w:rFonts w:cs="Times New Roman"/>
          <w:i/>
          <w:iCs/>
          <w:color w:val="000000"/>
        </w:rPr>
      </w:pPr>
      <w:r w:rsidRPr="009A742B">
        <w:rPr>
          <w:rFonts w:cs="Times New Roman"/>
          <w:i/>
          <w:iCs/>
          <w:color w:val="000000"/>
          <w:lang w:val="en-GB"/>
        </w:rPr>
        <w:t>Opt. 4: During MsgA transmission (subject to support of if 2-step RACH)</w:t>
      </w:r>
    </w:p>
    <w:p w14:paraId="7D12E394" w14:textId="77777777" w:rsidR="00400C37" w:rsidRPr="009A742B" w:rsidRDefault="00400C37" w:rsidP="00190196">
      <w:pPr>
        <w:pStyle w:val="ListParagraph"/>
        <w:numPr>
          <w:ilvl w:val="1"/>
          <w:numId w:val="35"/>
        </w:numPr>
        <w:rPr>
          <w:rFonts w:cs="Times New Roman"/>
          <w:i/>
          <w:iCs/>
          <w:color w:val="000000"/>
        </w:rPr>
      </w:pPr>
      <w:r w:rsidRPr="009A742B">
        <w:rPr>
          <w:rFonts w:cs="Times New Roman"/>
          <w:i/>
          <w:iCs/>
          <w:color w:val="000000"/>
          <w:lang w:val="en-GB"/>
        </w:rPr>
        <w:t>Other options are not precluded.</w:t>
      </w:r>
    </w:p>
    <w:p w14:paraId="58B18CEA" w14:textId="77777777" w:rsidR="00400C37" w:rsidRPr="009A742B" w:rsidRDefault="00400C37" w:rsidP="00190196">
      <w:pPr>
        <w:pStyle w:val="ListParagraph"/>
        <w:numPr>
          <w:ilvl w:val="1"/>
          <w:numId w:val="35"/>
        </w:numPr>
        <w:rPr>
          <w:rFonts w:cs="Times New Roman"/>
          <w:i/>
          <w:iCs/>
          <w:color w:val="000000"/>
        </w:rPr>
      </w:pPr>
      <w:r w:rsidRPr="009A742B">
        <w:rPr>
          <w:rFonts w:cs="Times New Roman"/>
          <w:i/>
          <w:iCs/>
          <w:color w:val="000000"/>
          <w:lang w:val="it-IT"/>
        </w:rPr>
        <w:t>Note: This study intends to establish feasibility of, and pros and cons for the identified options from RAN1 perspective, without any intention of down-selection without guidance from RAN2.</w:t>
      </w:r>
    </w:p>
    <w:p w14:paraId="2E77D96E" w14:textId="77777777" w:rsidR="00400C37" w:rsidRPr="009A742B" w:rsidRDefault="00400C37" w:rsidP="00190196">
      <w:pPr>
        <w:rPr>
          <w:rFonts w:cs="Times New Roman"/>
          <w:i/>
          <w:iCs/>
          <w:color w:val="000000"/>
        </w:rPr>
      </w:pPr>
      <w:r w:rsidRPr="009A742B">
        <w:rPr>
          <w:rFonts w:cs="Times New Roman"/>
          <w:i/>
          <w:iCs/>
          <w:color w:val="000000"/>
          <w:u w:val="single"/>
        </w:rPr>
        <w:t>Conclusion:</w:t>
      </w:r>
    </w:p>
    <w:p w14:paraId="46DD246E" w14:textId="77777777" w:rsidR="00400C37" w:rsidRPr="009A742B" w:rsidRDefault="00400C37" w:rsidP="00400C37">
      <w:pPr>
        <w:pStyle w:val="ListParagraph"/>
        <w:numPr>
          <w:ilvl w:val="0"/>
          <w:numId w:val="36"/>
        </w:numPr>
        <w:spacing w:after="180"/>
        <w:rPr>
          <w:rFonts w:cs="Times New Roman"/>
          <w:i/>
          <w:iCs/>
          <w:color w:val="000000"/>
        </w:rPr>
      </w:pPr>
      <w:r w:rsidRPr="009A742B">
        <w:rPr>
          <w:rFonts w:cs="Times New Roman"/>
          <w:i/>
          <w:iCs/>
          <w:color w:val="000000"/>
          <w:lang w:val="en-GB"/>
        </w:rPr>
        <w:t>RAN1 to wait for further progress in RAN2 on the issues of temporary access barring and congestion control.</w:t>
      </w:r>
    </w:p>
    <w:p w14:paraId="2CCB7724" w14:textId="77777777" w:rsidR="00400C37" w:rsidRPr="009A742B" w:rsidRDefault="00400C37" w:rsidP="00400C37">
      <w:pPr>
        <w:rPr>
          <w:rFonts w:cs="Times New Roman"/>
          <w:i/>
          <w:iCs/>
          <w:color w:val="000000"/>
        </w:rPr>
      </w:pPr>
      <w:r w:rsidRPr="009A742B">
        <w:rPr>
          <w:rFonts w:cs="Times New Roman"/>
          <w:i/>
          <w:iCs/>
          <w:color w:val="000000"/>
          <w:u w:val="single"/>
        </w:rPr>
        <w:t>Conclusion:</w:t>
      </w:r>
    </w:p>
    <w:p w14:paraId="14A65821" w14:textId="77777777" w:rsidR="00400C37" w:rsidRPr="009A742B" w:rsidRDefault="00400C37" w:rsidP="00400C37">
      <w:pPr>
        <w:pStyle w:val="ListParagraph"/>
        <w:numPr>
          <w:ilvl w:val="0"/>
          <w:numId w:val="37"/>
        </w:numPr>
        <w:spacing w:after="180"/>
        <w:rPr>
          <w:rFonts w:cs="Times New Roman"/>
          <w:i/>
          <w:iCs/>
          <w:color w:val="000000"/>
        </w:rPr>
      </w:pPr>
      <w:r w:rsidRPr="009A742B">
        <w:rPr>
          <w:rFonts w:cs="Times New Roman"/>
          <w:i/>
          <w:iCs/>
          <w:color w:val="000000"/>
          <w:lang w:val="en-GB"/>
        </w:rPr>
        <w:t>RAN1 to defer to RAN2 for further progress on studies regarding RRM relaxations and E-DRx for RedCap UEs to facilitate reduced UE power consumption.</w:t>
      </w:r>
    </w:p>
    <w:p w14:paraId="3E79D0A6" w14:textId="465BB341" w:rsidR="00C40569" w:rsidRPr="00C40569" w:rsidRDefault="00C40569" w:rsidP="0020635B">
      <w:pPr>
        <w:contextualSpacing/>
      </w:pPr>
      <w:r>
        <w:t xml:space="preserve">In this contribution, we </w:t>
      </w:r>
      <w:r w:rsidR="00400C37">
        <w:t>discuss the options for device identification and access restriction issues.</w:t>
      </w:r>
    </w:p>
    <w:p w14:paraId="22339CAB" w14:textId="5784AE4F" w:rsidR="009445CE" w:rsidRDefault="00B91E34" w:rsidP="000C5D3A">
      <w:pPr>
        <w:pStyle w:val="Heading1"/>
        <w:pBdr>
          <w:top w:val="single" w:sz="12" w:space="5" w:color="auto"/>
        </w:pBdr>
        <w:spacing w:after="160" w:line="259" w:lineRule="auto"/>
        <w:rPr>
          <w:rFonts w:cs="Arial"/>
          <w:szCs w:val="32"/>
        </w:rPr>
      </w:pPr>
      <w:r>
        <w:rPr>
          <w:rFonts w:cs="Arial"/>
          <w:szCs w:val="32"/>
        </w:rPr>
        <w:lastRenderedPageBreak/>
        <w:t>Discussion</w:t>
      </w:r>
    </w:p>
    <w:p w14:paraId="4B10A56B" w14:textId="77777777" w:rsidR="00E33EA7" w:rsidRDefault="00E33EA7" w:rsidP="00E33EA7">
      <w:pPr>
        <w:pStyle w:val="Heading2"/>
        <w:spacing w:after="160" w:line="259" w:lineRule="auto"/>
      </w:pPr>
      <w:r>
        <w:t>Device identification and access restriction</w:t>
      </w:r>
    </w:p>
    <w:p w14:paraId="58A6E6F7" w14:textId="77777777" w:rsidR="00E33EA7" w:rsidRDefault="00E33EA7" w:rsidP="00E33EA7">
      <w:pPr>
        <w:jc w:val="both"/>
        <w:rPr>
          <w:lang w:val="en-GB" w:eastAsia="zh-CN"/>
        </w:rPr>
      </w:pPr>
      <w:r>
        <w:rPr>
          <w:lang w:val="en-GB" w:eastAsia="zh-CN"/>
        </w:rPr>
        <w:t>The UE capabilities is known to gNB after RRC connection is established. However, if the gNB identifies the RedCap UE earlier, it could potentially restrict access, reject service, and/or limit the use of resources in the cell to avoid system performance degradation due to inefficient resource usage to serve low capability UEs.</w:t>
      </w:r>
    </w:p>
    <w:p w14:paraId="15F77D8E" w14:textId="77777777" w:rsidR="00E33EA7" w:rsidRDefault="00E33EA7" w:rsidP="00E33EA7">
      <w:pPr>
        <w:jc w:val="both"/>
        <w:rPr>
          <w:lang w:val="en-GB" w:eastAsia="zh-CN"/>
        </w:rPr>
      </w:pPr>
      <w:r>
        <w:rPr>
          <w:lang w:val="en-GB" w:eastAsia="zh-CN"/>
        </w:rPr>
        <w:t>A couple of options have been discussed for the RedCap UE identification in the previous RAN1 e-meeting as following:</w:t>
      </w:r>
    </w:p>
    <w:p w14:paraId="529872AC" w14:textId="77777777" w:rsidR="00E33EA7" w:rsidRPr="00F03145" w:rsidRDefault="00E33EA7" w:rsidP="00E33EA7">
      <w:pPr>
        <w:pStyle w:val="ListParagraph"/>
        <w:numPr>
          <w:ilvl w:val="0"/>
          <w:numId w:val="38"/>
        </w:numPr>
      </w:pPr>
      <w:r w:rsidRPr="009A742B">
        <w:t>Opt. 1: During Msg1 transmission, e.g., via separate initial UL BWP, separate PRACH resource, or PRACH preamble partitioning.</w:t>
      </w:r>
    </w:p>
    <w:p w14:paraId="3D741244" w14:textId="77777777" w:rsidR="00E33EA7" w:rsidRPr="00F03145" w:rsidRDefault="00E33EA7" w:rsidP="00E33EA7">
      <w:pPr>
        <w:pStyle w:val="ListParagraph"/>
        <w:numPr>
          <w:ilvl w:val="0"/>
          <w:numId w:val="38"/>
        </w:numPr>
      </w:pPr>
      <w:r w:rsidRPr="009A742B">
        <w:t>Opt. 2: During Msg3 transmission.</w:t>
      </w:r>
      <w:r w:rsidRPr="009A742B">
        <w:rPr>
          <w:rFonts w:asciiTheme="minorHAnsi" w:hAnsiTheme="minorHAnsi"/>
          <w:sz w:val="24"/>
          <w:szCs w:val="24"/>
        </w:rPr>
        <w:t> </w:t>
      </w:r>
    </w:p>
    <w:p w14:paraId="28ED961E" w14:textId="77777777" w:rsidR="00E33EA7" w:rsidRPr="00F03145" w:rsidRDefault="00E33EA7" w:rsidP="00E33EA7">
      <w:pPr>
        <w:pStyle w:val="ListParagraph"/>
        <w:numPr>
          <w:ilvl w:val="0"/>
          <w:numId w:val="38"/>
        </w:numPr>
      </w:pPr>
      <w:r w:rsidRPr="009A742B">
        <w:t>Opt. 3: Post Msg4 acknowledgment.</w:t>
      </w:r>
      <w:r w:rsidRPr="009A742B">
        <w:rPr>
          <w:rFonts w:asciiTheme="minorHAnsi" w:hAnsiTheme="minorHAnsi"/>
          <w:sz w:val="24"/>
          <w:szCs w:val="24"/>
        </w:rPr>
        <w:t> </w:t>
      </w:r>
    </w:p>
    <w:p w14:paraId="3DA4C774" w14:textId="77777777" w:rsidR="00E33EA7" w:rsidRPr="00F03145" w:rsidRDefault="00E33EA7" w:rsidP="00E33EA7">
      <w:pPr>
        <w:pStyle w:val="ListParagraph"/>
        <w:numPr>
          <w:ilvl w:val="1"/>
          <w:numId w:val="38"/>
        </w:numPr>
      </w:pPr>
      <w:r w:rsidRPr="009A742B">
        <w:t>E.g., during Msg5 transmission or part of UE capability reporting.</w:t>
      </w:r>
    </w:p>
    <w:p w14:paraId="75847CB6" w14:textId="77777777" w:rsidR="00E33EA7" w:rsidRPr="00F03145" w:rsidRDefault="00E33EA7" w:rsidP="00E33EA7">
      <w:pPr>
        <w:pStyle w:val="ListParagraph"/>
        <w:numPr>
          <w:ilvl w:val="0"/>
          <w:numId w:val="38"/>
        </w:numPr>
      </w:pPr>
      <w:r w:rsidRPr="009A742B">
        <w:t>Opt. 4: During MsgA transmission (subject to support of if 2-step RACH)</w:t>
      </w:r>
    </w:p>
    <w:p w14:paraId="76B14E92" w14:textId="77777777" w:rsidR="00E33EA7" w:rsidRDefault="00E33EA7" w:rsidP="00E33EA7">
      <w:pPr>
        <w:jc w:val="both"/>
        <w:rPr>
          <w:lang w:eastAsia="zh-CN"/>
        </w:rPr>
      </w:pPr>
      <w:r>
        <w:rPr>
          <w:lang w:eastAsia="zh-CN"/>
        </w:rPr>
        <w:t>Among the options, using Msg1/A seems to provide the most benefits as it can address the PRACH collision issue. For example, if there are massive number of RedCap UEs in a cell, the contention based PRACH performance will be impacted significantly if there is no separate PRACH resources for the RedCap UEs. The RedCap UE may be delay tolerant as compared with other types of device (e.g., URLLC/IIoT). In this case, a small portion of PRACH resources could be configured for the RedCap UEs and the rest of PRACH resources could be used for the other types of devices which require a lower latency. Therefore, sharing PRACH resource between RedCap UE and other device types is not desirable.</w:t>
      </w:r>
    </w:p>
    <w:p w14:paraId="0B202C01" w14:textId="77777777" w:rsidR="00E33EA7" w:rsidRPr="00FB66F4" w:rsidRDefault="00E33EA7" w:rsidP="00E33EA7">
      <w:pPr>
        <w:jc w:val="both"/>
        <w:rPr>
          <w:b/>
          <w:bCs/>
          <w:lang w:eastAsia="zh-CN"/>
        </w:rPr>
      </w:pPr>
      <w:r w:rsidRPr="00FB66F4">
        <w:rPr>
          <w:b/>
          <w:bCs/>
          <w:lang w:eastAsia="zh-CN"/>
        </w:rPr>
        <w:t>Observation-1: Using Msg1/A for RedCap UE identification could avoid unnecessary PRACH collision increase for the other type of devices.</w:t>
      </w:r>
    </w:p>
    <w:p w14:paraId="6C44EAAB" w14:textId="77777777" w:rsidR="00E33EA7" w:rsidRPr="00FB66F4" w:rsidRDefault="00E33EA7" w:rsidP="00E33EA7">
      <w:pPr>
        <w:jc w:val="both"/>
        <w:rPr>
          <w:rFonts w:eastAsiaTheme="minorEastAsia"/>
          <w:b/>
          <w:bCs/>
          <w:lang w:eastAsia="zh-CN"/>
        </w:rPr>
      </w:pPr>
      <w:r w:rsidRPr="00FB66F4">
        <w:rPr>
          <w:rFonts w:eastAsiaTheme="minorEastAsia"/>
          <w:b/>
          <w:bCs/>
          <w:lang w:eastAsia="zh-CN"/>
        </w:rPr>
        <w:t xml:space="preserve">Observation-2: </w:t>
      </w:r>
      <w:r w:rsidRPr="00FB66F4">
        <w:rPr>
          <w:b/>
          <w:bCs/>
          <w:lang w:eastAsia="zh-CN"/>
        </w:rPr>
        <w:t xml:space="preserve">With a limited number of PRACH resource configured for the RedCap UEs, the access could be restricted naturally </w:t>
      </w:r>
    </w:p>
    <w:p w14:paraId="2AEB86D4" w14:textId="77777777" w:rsidR="00E33EA7" w:rsidRDefault="00E33EA7" w:rsidP="00E33EA7">
      <w:pPr>
        <w:jc w:val="both"/>
        <w:rPr>
          <w:lang w:val="en-GB" w:eastAsia="zh-CN"/>
        </w:rPr>
      </w:pPr>
      <w:r>
        <w:rPr>
          <w:lang w:val="en-GB" w:eastAsia="zh-CN"/>
        </w:rPr>
        <w:t xml:space="preserve">The configuration of the separate PRACH resources for the RedCap UEs could be supported optionally by the network. For example, a gNB could make a decision that whether dedicated PRACH resource for the RedCap UEs based on the cell loading, the estimated RedCap UEs in the cell, and so on. </w:t>
      </w:r>
    </w:p>
    <w:p w14:paraId="28A02B4A" w14:textId="77777777" w:rsidR="00E33EA7" w:rsidRDefault="00E33EA7" w:rsidP="00E33EA7">
      <w:pPr>
        <w:jc w:val="both"/>
        <w:rPr>
          <w:lang w:val="en-GB" w:eastAsia="zh-CN"/>
        </w:rPr>
      </w:pPr>
      <w:r>
        <w:rPr>
          <w:lang w:val="en-GB" w:eastAsia="zh-CN"/>
        </w:rPr>
        <w:t>In the case that there is no dedicated PRACH resource configured for RedCap UEs, the RedCap UEs may use the PRACH resources configured for the other types of devices as well. In this case, the gNB will identify the RedCap UEs from the UE capability signaling. Therefore, Option-3 seems to be used when Option-1/4 is not used by the gNB.</w:t>
      </w:r>
    </w:p>
    <w:p w14:paraId="23A9792C" w14:textId="77777777" w:rsidR="00E33EA7" w:rsidRPr="00FB66F4" w:rsidRDefault="00E33EA7" w:rsidP="00E33EA7">
      <w:pPr>
        <w:jc w:val="both"/>
        <w:rPr>
          <w:b/>
          <w:bCs/>
          <w:lang w:val="en-GB" w:eastAsia="zh-CN"/>
        </w:rPr>
      </w:pPr>
      <w:r w:rsidRPr="00FB66F4">
        <w:rPr>
          <w:b/>
          <w:bCs/>
          <w:lang w:val="en-GB" w:eastAsia="zh-CN"/>
        </w:rPr>
        <w:t>Observation-3: The use of Msg1/A for RedCap UE identification could be up to gNB configuration.</w:t>
      </w:r>
    </w:p>
    <w:p w14:paraId="379A44CF" w14:textId="79C30504" w:rsidR="00E33EA7" w:rsidRPr="00FB66F4" w:rsidRDefault="00E33EA7" w:rsidP="00E33EA7">
      <w:pPr>
        <w:jc w:val="both"/>
        <w:rPr>
          <w:b/>
          <w:bCs/>
          <w:lang w:val="en-GB" w:eastAsia="zh-CN"/>
        </w:rPr>
      </w:pPr>
      <w:r w:rsidRPr="00FB66F4">
        <w:rPr>
          <w:b/>
          <w:bCs/>
          <w:lang w:val="en-GB" w:eastAsia="zh-CN"/>
        </w:rPr>
        <w:t xml:space="preserve">Proposal 1: </w:t>
      </w:r>
      <w:r w:rsidR="003E3864" w:rsidRPr="00FB66F4">
        <w:rPr>
          <w:b/>
          <w:bCs/>
          <w:lang w:val="en-GB" w:eastAsia="zh-CN"/>
        </w:rPr>
        <w:t>S</w:t>
      </w:r>
      <w:r w:rsidRPr="00FB66F4">
        <w:rPr>
          <w:b/>
          <w:bCs/>
          <w:lang w:val="en-GB" w:eastAsia="zh-CN"/>
        </w:rPr>
        <w:t>upport dedicated resources of Msg1/A for the RedCap UE identification and it is up to the network whether to configure the dedicated Msg1/A resources for RedCap UEs.</w:t>
      </w:r>
    </w:p>
    <w:p w14:paraId="5A43234E" w14:textId="5082C63C" w:rsidR="00402580" w:rsidRDefault="00402580" w:rsidP="00402580">
      <w:pPr>
        <w:rPr>
          <w:lang w:val="en-GB"/>
        </w:rPr>
      </w:pPr>
    </w:p>
    <w:p w14:paraId="73A555FC" w14:textId="6FC8E088"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t>Conclusion</w:t>
      </w:r>
    </w:p>
    <w:p w14:paraId="0391582F" w14:textId="2DBEB561" w:rsidR="00B60031" w:rsidRDefault="002E4F8E" w:rsidP="00283C14">
      <w:pPr>
        <w:spacing w:line="22" w:lineRule="atLeast"/>
        <w:jc w:val="both"/>
        <w:rPr>
          <w:rFonts w:cs="Times New Roman"/>
          <w:lang w:val="en-GB" w:eastAsia="zh-CN"/>
        </w:rPr>
      </w:pPr>
      <w:r>
        <w:rPr>
          <w:rFonts w:cs="Times New Roman"/>
          <w:lang w:val="en-GB" w:eastAsia="zh-CN"/>
        </w:rPr>
        <w:t xml:space="preserve">Based on the above discussion, we </w:t>
      </w:r>
      <w:r w:rsidR="00CD628B">
        <w:rPr>
          <w:rFonts w:cs="Times New Roman"/>
          <w:lang w:val="en-GB" w:eastAsia="zh-CN"/>
        </w:rPr>
        <w:t>have made the following observations and proposal:</w:t>
      </w:r>
    </w:p>
    <w:p w14:paraId="72AB62DB" w14:textId="77777777" w:rsidR="00CD628B" w:rsidRPr="00FB66F4" w:rsidRDefault="00CD628B" w:rsidP="00CD628B">
      <w:pPr>
        <w:jc w:val="both"/>
        <w:rPr>
          <w:b/>
          <w:bCs/>
          <w:lang w:eastAsia="zh-CN"/>
        </w:rPr>
      </w:pPr>
      <w:r w:rsidRPr="00FB66F4">
        <w:rPr>
          <w:b/>
          <w:bCs/>
          <w:lang w:eastAsia="zh-CN"/>
        </w:rPr>
        <w:t>Observation-1: Using Msg1/A for RedCap UE identification could avoid unnecessary PRACH collision increase for the other type of devices.</w:t>
      </w:r>
    </w:p>
    <w:p w14:paraId="33FC7368" w14:textId="2E954E5D" w:rsidR="00CD628B" w:rsidRDefault="00CD628B" w:rsidP="00CD628B">
      <w:pPr>
        <w:jc w:val="both"/>
        <w:rPr>
          <w:b/>
          <w:bCs/>
          <w:lang w:eastAsia="zh-CN"/>
        </w:rPr>
      </w:pPr>
      <w:r w:rsidRPr="00FB66F4">
        <w:rPr>
          <w:rFonts w:eastAsiaTheme="minorEastAsia"/>
          <w:b/>
          <w:bCs/>
          <w:lang w:eastAsia="zh-CN"/>
        </w:rPr>
        <w:lastRenderedPageBreak/>
        <w:t xml:space="preserve">Observation-2: </w:t>
      </w:r>
      <w:r w:rsidRPr="00FB66F4">
        <w:rPr>
          <w:b/>
          <w:bCs/>
          <w:lang w:eastAsia="zh-CN"/>
        </w:rPr>
        <w:t>With a limited number of PRACH resource configured for the RedCap UEs, the access could be restricted naturally</w:t>
      </w:r>
      <w:r>
        <w:rPr>
          <w:b/>
          <w:bCs/>
          <w:lang w:eastAsia="zh-CN"/>
        </w:rPr>
        <w:t>.</w:t>
      </w:r>
    </w:p>
    <w:p w14:paraId="7E186C5B" w14:textId="30EC192F" w:rsidR="00CD628B" w:rsidRDefault="00CD628B" w:rsidP="00CD628B">
      <w:pPr>
        <w:jc w:val="both"/>
        <w:rPr>
          <w:b/>
          <w:bCs/>
          <w:lang w:val="en-GB" w:eastAsia="zh-CN"/>
        </w:rPr>
      </w:pPr>
      <w:r w:rsidRPr="00FB66F4">
        <w:rPr>
          <w:b/>
          <w:bCs/>
          <w:lang w:val="en-GB" w:eastAsia="zh-CN"/>
        </w:rPr>
        <w:t>Observation-3: The use of Msg1/A for RedCap UE identification could be up to gNB configuration.</w:t>
      </w:r>
    </w:p>
    <w:p w14:paraId="6C8EF0EB" w14:textId="77777777" w:rsidR="00CD628B" w:rsidRPr="00FB66F4" w:rsidRDefault="00CD628B" w:rsidP="00CD628B">
      <w:pPr>
        <w:jc w:val="both"/>
        <w:rPr>
          <w:b/>
          <w:bCs/>
          <w:lang w:val="en-GB" w:eastAsia="zh-CN"/>
        </w:rPr>
      </w:pPr>
    </w:p>
    <w:p w14:paraId="6A05DDBC" w14:textId="42BD6733" w:rsidR="00CD628B" w:rsidRPr="00CD628B" w:rsidRDefault="00CD628B" w:rsidP="00CD628B">
      <w:pPr>
        <w:jc w:val="both"/>
        <w:rPr>
          <w:b/>
          <w:bCs/>
          <w:lang w:val="en-GB" w:eastAsia="zh-CN"/>
        </w:rPr>
      </w:pPr>
      <w:r w:rsidRPr="00FB66F4">
        <w:rPr>
          <w:b/>
          <w:bCs/>
          <w:lang w:val="en-GB" w:eastAsia="zh-CN"/>
        </w:rPr>
        <w:t>Proposal 1: Support dedicated resources of Msg1/A for the RedCap UE identification and it is up to the network whether to configure the dedicated Msg1/A resources for RedCap UEs.</w:t>
      </w:r>
    </w:p>
    <w:p w14:paraId="470408A8" w14:textId="00CCEBCD" w:rsidR="002E4F8E" w:rsidRPr="00CD628B" w:rsidRDefault="002E4F8E" w:rsidP="00283C14">
      <w:pPr>
        <w:spacing w:line="22" w:lineRule="atLeast"/>
        <w:jc w:val="both"/>
        <w:rPr>
          <w:rFonts w:cs="Times New Roman"/>
          <w:lang w:eastAsia="zh-CN"/>
        </w:rPr>
      </w:pP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445F0D43" w14:textId="7EBFFDB9" w:rsidR="004B4728" w:rsidRDefault="00C771F0" w:rsidP="008A2C13">
      <w:pPr>
        <w:numPr>
          <w:ilvl w:val="0"/>
          <w:numId w:val="19"/>
        </w:numPr>
        <w:overflowPunct w:val="0"/>
        <w:autoSpaceDE w:val="0"/>
        <w:autoSpaceDN w:val="0"/>
        <w:adjustRightInd w:val="0"/>
        <w:ind w:left="284" w:hanging="284"/>
        <w:jc w:val="both"/>
        <w:textAlignment w:val="baseline"/>
      </w:pPr>
      <w:bookmarkStart w:id="2" w:name="_Ref382571130"/>
      <w:r>
        <w:t xml:space="preserve"> </w:t>
      </w:r>
      <w:r w:rsidR="008D00F0" w:rsidRPr="008D00F0">
        <w:t>RP-193238, “New SID on support of reduced capability NR devices”, Ericsson, RAN#</w:t>
      </w:r>
      <w:r w:rsidR="008D00F0">
        <w:t>8</w:t>
      </w:r>
      <w:bookmarkEnd w:id="2"/>
      <w:r w:rsidR="008D00F0">
        <w:t>6.</w:t>
      </w:r>
    </w:p>
    <w:p w14:paraId="26758B42" w14:textId="585D8947" w:rsidR="00913B2A" w:rsidRDefault="00913B2A" w:rsidP="00913B2A">
      <w:pPr>
        <w:numPr>
          <w:ilvl w:val="0"/>
          <w:numId w:val="19"/>
        </w:numPr>
        <w:overflowPunct w:val="0"/>
        <w:autoSpaceDE w:val="0"/>
        <w:autoSpaceDN w:val="0"/>
        <w:adjustRightInd w:val="0"/>
        <w:spacing w:line="240" w:lineRule="auto"/>
        <w:ind w:left="284" w:hanging="284"/>
        <w:jc w:val="both"/>
        <w:textAlignment w:val="baseline"/>
      </w:pPr>
      <w:r w:rsidRPr="0020665C">
        <w:rPr>
          <w:rFonts w:eastAsia="Arial Unicode MS" w:cs="Times New Roman"/>
        </w:rPr>
        <w:t>Chairman’s Notes, 3GPP WG1 #10</w:t>
      </w:r>
      <w:r>
        <w:rPr>
          <w:rFonts w:eastAsia="Arial Unicode MS" w:cs="Times New Roman"/>
        </w:rPr>
        <w:t>2</w:t>
      </w:r>
      <w:r w:rsidRPr="0020665C">
        <w:rPr>
          <w:rFonts w:eastAsia="Arial Unicode MS" w:cs="Times New Roman"/>
        </w:rPr>
        <w:t>-e</w:t>
      </w:r>
      <w:r>
        <w:rPr>
          <w:rFonts w:eastAsia="Arial Unicode MS" w:cs="Times New Roman"/>
        </w:rPr>
        <w:t>.</w:t>
      </w:r>
    </w:p>
    <w:p w14:paraId="34709803" w14:textId="72C1C1C2" w:rsidR="00413821" w:rsidRPr="008A2C13" w:rsidRDefault="00413821" w:rsidP="00CD628B">
      <w:pPr>
        <w:overflowPunct w:val="0"/>
        <w:autoSpaceDE w:val="0"/>
        <w:autoSpaceDN w:val="0"/>
        <w:adjustRightInd w:val="0"/>
        <w:ind w:left="284"/>
        <w:jc w:val="both"/>
        <w:textAlignment w:val="baseline"/>
      </w:pPr>
    </w:p>
    <w:sectPr w:rsidR="00413821" w:rsidRPr="008A2C1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FB3A1" w14:textId="77777777" w:rsidR="00B94B31" w:rsidRDefault="00B94B31">
      <w:r>
        <w:separator/>
      </w:r>
    </w:p>
  </w:endnote>
  <w:endnote w:type="continuationSeparator" w:id="0">
    <w:p w14:paraId="4722936A" w14:textId="77777777" w:rsidR="00B94B31" w:rsidRDefault="00B94B31">
      <w:r>
        <w:continuationSeparator/>
      </w:r>
    </w:p>
  </w:endnote>
  <w:endnote w:type="continuationNotice" w:id="1">
    <w:p w14:paraId="44FF6BF0" w14:textId="77777777" w:rsidR="00B94B31" w:rsidRDefault="00B94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52FBF" w14:textId="77777777" w:rsidR="00B94B31" w:rsidRDefault="00B94B31">
      <w:r>
        <w:separator/>
      </w:r>
    </w:p>
  </w:footnote>
  <w:footnote w:type="continuationSeparator" w:id="0">
    <w:p w14:paraId="3CFD1A4A" w14:textId="77777777" w:rsidR="00B94B31" w:rsidRDefault="00B94B31">
      <w:r>
        <w:continuationSeparator/>
      </w:r>
    </w:p>
  </w:footnote>
  <w:footnote w:type="continuationNotice" w:id="1">
    <w:p w14:paraId="24A58D8C" w14:textId="77777777" w:rsidR="00B94B31" w:rsidRDefault="00B94B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D06"/>
    <w:multiLevelType w:val="multilevel"/>
    <w:tmpl w:val="D46CF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49450F"/>
    <w:multiLevelType w:val="hybridMultilevel"/>
    <w:tmpl w:val="4634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1321" w:hanging="360"/>
      </w:pPr>
      <w:rPr>
        <w:rFonts w:ascii="Symbol" w:hAnsi="Symbol" w:hint="default"/>
      </w:rPr>
    </w:lvl>
    <w:lvl w:ilvl="1" w:tplc="040B0003">
      <w:start w:val="1"/>
      <w:numFmt w:val="bullet"/>
      <w:lvlText w:val="o"/>
      <w:lvlJc w:val="left"/>
      <w:pPr>
        <w:ind w:left="-601" w:hanging="360"/>
      </w:pPr>
      <w:rPr>
        <w:rFonts w:ascii="Courier New" w:hAnsi="Courier New" w:cs="Courier New" w:hint="default"/>
      </w:rPr>
    </w:lvl>
    <w:lvl w:ilvl="2" w:tplc="040B0005" w:tentative="1">
      <w:start w:val="1"/>
      <w:numFmt w:val="bullet"/>
      <w:lvlText w:val=""/>
      <w:lvlJc w:val="left"/>
      <w:pPr>
        <w:ind w:left="119" w:hanging="360"/>
      </w:pPr>
      <w:rPr>
        <w:rFonts w:ascii="Wingdings" w:hAnsi="Wingdings" w:hint="default"/>
      </w:rPr>
    </w:lvl>
    <w:lvl w:ilvl="3" w:tplc="040B0001" w:tentative="1">
      <w:start w:val="1"/>
      <w:numFmt w:val="bullet"/>
      <w:lvlText w:val=""/>
      <w:lvlJc w:val="left"/>
      <w:pPr>
        <w:ind w:left="839" w:hanging="360"/>
      </w:pPr>
      <w:rPr>
        <w:rFonts w:ascii="Symbol" w:hAnsi="Symbol" w:hint="default"/>
      </w:rPr>
    </w:lvl>
    <w:lvl w:ilvl="4" w:tplc="040B0003" w:tentative="1">
      <w:start w:val="1"/>
      <w:numFmt w:val="bullet"/>
      <w:lvlText w:val="o"/>
      <w:lvlJc w:val="left"/>
      <w:pPr>
        <w:ind w:left="1559" w:hanging="360"/>
      </w:pPr>
      <w:rPr>
        <w:rFonts w:ascii="Courier New" w:hAnsi="Courier New" w:cs="Courier New" w:hint="default"/>
      </w:rPr>
    </w:lvl>
    <w:lvl w:ilvl="5" w:tplc="040B0005" w:tentative="1">
      <w:start w:val="1"/>
      <w:numFmt w:val="bullet"/>
      <w:lvlText w:val=""/>
      <w:lvlJc w:val="left"/>
      <w:pPr>
        <w:ind w:left="2279" w:hanging="360"/>
      </w:pPr>
      <w:rPr>
        <w:rFonts w:ascii="Wingdings" w:hAnsi="Wingdings" w:hint="default"/>
      </w:rPr>
    </w:lvl>
    <w:lvl w:ilvl="6" w:tplc="040B0001" w:tentative="1">
      <w:start w:val="1"/>
      <w:numFmt w:val="bullet"/>
      <w:lvlText w:val=""/>
      <w:lvlJc w:val="left"/>
      <w:pPr>
        <w:ind w:left="2999" w:hanging="360"/>
      </w:pPr>
      <w:rPr>
        <w:rFonts w:ascii="Symbol" w:hAnsi="Symbol" w:hint="default"/>
      </w:rPr>
    </w:lvl>
    <w:lvl w:ilvl="7" w:tplc="040B0003" w:tentative="1">
      <w:start w:val="1"/>
      <w:numFmt w:val="bullet"/>
      <w:lvlText w:val="o"/>
      <w:lvlJc w:val="left"/>
      <w:pPr>
        <w:ind w:left="3719" w:hanging="360"/>
      </w:pPr>
      <w:rPr>
        <w:rFonts w:ascii="Courier New" w:hAnsi="Courier New" w:cs="Courier New" w:hint="default"/>
      </w:rPr>
    </w:lvl>
    <w:lvl w:ilvl="8" w:tplc="040B0005" w:tentative="1">
      <w:start w:val="1"/>
      <w:numFmt w:val="bullet"/>
      <w:lvlText w:val=""/>
      <w:lvlJc w:val="left"/>
      <w:pPr>
        <w:ind w:left="4439" w:hanging="360"/>
      </w:pPr>
      <w:rPr>
        <w:rFonts w:ascii="Wingdings" w:hAnsi="Wingdings" w:hint="default"/>
      </w:rPr>
    </w:lvl>
  </w:abstractNum>
  <w:abstractNum w:abstractNumId="6"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0E339D"/>
    <w:multiLevelType w:val="multilevel"/>
    <w:tmpl w:val="AAB0A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ED01C8"/>
    <w:multiLevelType w:val="multilevel"/>
    <w:tmpl w:val="FC30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009B0"/>
    <w:multiLevelType w:val="hybridMultilevel"/>
    <w:tmpl w:val="A0C8A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B7B8E"/>
    <w:multiLevelType w:val="hybridMultilevel"/>
    <w:tmpl w:val="B3FA0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B4F87"/>
    <w:multiLevelType w:val="hybridMultilevel"/>
    <w:tmpl w:val="5C8A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70428B"/>
    <w:multiLevelType w:val="hybridMultilevel"/>
    <w:tmpl w:val="43126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F0AC4"/>
    <w:multiLevelType w:val="hybridMultilevel"/>
    <w:tmpl w:val="962A2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16"/>
  </w:num>
  <w:num w:numId="4">
    <w:abstractNumId w:val="18"/>
  </w:num>
  <w:num w:numId="5">
    <w:abstractNumId w:val="12"/>
  </w:num>
  <w:num w:numId="6">
    <w:abstractNumId w:val="21"/>
  </w:num>
  <w:num w:numId="7">
    <w:abstractNumId w:val="26"/>
  </w:num>
  <w:num w:numId="8">
    <w:abstractNumId w:val="13"/>
  </w:num>
  <w:num w:numId="9">
    <w:abstractNumId w:val="34"/>
  </w:num>
  <w:num w:numId="10">
    <w:abstractNumId w:val="15"/>
    <w:lvlOverride w:ilvl="0">
      <w:startOverride w:val="1"/>
    </w:lvlOverride>
  </w:num>
  <w:num w:numId="11">
    <w:abstractNumId w:val="23"/>
  </w:num>
  <w:num w:numId="12">
    <w:abstractNumId w:val="5"/>
  </w:num>
  <w:num w:numId="13">
    <w:abstractNumId w:val="17"/>
  </w:num>
  <w:num w:numId="14">
    <w:abstractNumId w:val="4"/>
  </w:num>
  <w:num w:numId="15">
    <w:abstractNumId w:val="7"/>
  </w:num>
  <w:num w:numId="16">
    <w:abstractNumId w:val="28"/>
  </w:num>
  <w:num w:numId="17">
    <w:abstractNumId w:val="29"/>
  </w:num>
  <w:num w:numId="18">
    <w:abstractNumId w:val="20"/>
  </w:num>
  <w:num w:numId="19">
    <w:abstractNumId w:val="3"/>
  </w:num>
  <w:num w:numId="20">
    <w:abstractNumId w:val="19"/>
  </w:num>
  <w:num w:numId="21">
    <w:abstractNumId w:val="1"/>
  </w:num>
  <w:num w:numId="22">
    <w:abstractNumId w:val="1"/>
  </w:num>
  <w:num w:numId="23">
    <w:abstractNumId w:val="22"/>
  </w:num>
  <w:num w:numId="24">
    <w:abstractNumId w:val="6"/>
  </w:num>
  <w:num w:numId="25">
    <w:abstractNumId w:val="25"/>
  </w:num>
  <w:num w:numId="26">
    <w:abstractNumId w:val="10"/>
  </w:num>
  <w:num w:numId="27">
    <w:abstractNumId w:val="33"/>
  </w:num>
  <w:num w:numId="28">
    <w:abstractNumId w:val="32"/>
  </w:num>
  <w:num w:numId="29">
    <w:abstractNumId w:val="14"/>
  </w:num>
  <w:num w:numId="30">
    <w:abstractNumId w:val="27"/>
  </w:num>
  <w:num w:numId="31">
    <w:abstractNumId w:val="31"/>
  </w:num>
  <w:num w:numId="32">
    <w:abstractNumId w:val="11"/>
  </w:num>
  <w:num w:numId="33">
    <w:abstractNumId w:val="1"/>
  </w:num>
  <w:num w:numId="34">
    <w:abstractNumId w:val="1"/>
  </w:num>
  <w:num w:numId="35">
    <w:abstractNumId w:val="0"/>
  </w:num>
  <w:num w:numId="36">
    <w:abstractNumId w:val="9"/>
  </w:num>
  <w:num w:numId="37">
    <w:abstractNumId w:val="8"/>
  </w:num>
  <w:num w:numId="38">
    <w:abstractNumId w:val="30"/>
  </w:num>
  <w:num w:numId="3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0A3"/>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E"/>
    <w:rsid w:val="00110EBC"/>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39BD"/>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3FE"/>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406"/>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016"/>
    <w:rsid w:val="00164913"/>
    <w:rsid w:val="0016571F"/>
    <w:rsid w:val="001659C1"/>
    <w:rsid w:val="0016660C"/>
    <w:rsid w:val="001669BD"/>
    <w:rsid w:val="0016726A"/>
    <w:rsid w:val="00167359"/>
    <w:rsid w:val="00167A2F"/>
    <w:rsid w:val="00170B00"/>
    <w:rsid w:val="001711A9"/>
    <w:rsid w:val="00171478"/>
    <w:rsid w:val="00171E9B"/>
    <w:rsid w:val="00171FAE"/>
    <w:rsid w:val="0017254A"/>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0E5"/>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196"/>
    <w:rsid w:val="00190AC1"/>
    <w:rsid w:val="00191EFF"/>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1ED"/>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3E89"/>
    <w:rsid w:val="002346E3"/>
    <w:rsid w:val="002349E8"/>
    <w:rsid w:val="00235632"/>
    <w:rsid w:val="00235677"/>
    <w:rsid w:val="00235872"/>
    <w:rsid w:val="00235CAB"/>
    <w:rsid w:val="00235DAD"/>
    <w:rsid w:val="00236099"/>
    <w:rsid w:val="00236493"/>
    <w:rsid w:val="0023684E"/>
    <w:rsid w:val="00236ED3"/>
    <w:rsid w:val="00237918"/>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3D60"/>
    <w:rsid w:val="00264189"/>
    <w:rsid w:val="00264228"/>
    <w:rsid w:val="00264334"/>
    <w:rsid w:val="0026473E"/>
    <w:rsid w:val="00265223"/>
    <w:rsid w:val="00265521"/>
    <w:rsid w:val="00265C81"/>
    <w:rsid w:val="00266214"/>
    <w:rsid w:val="00266CC2"/>
    <w:rsid w:val="00267A3C"/>
    <w:rsid w:val="00267B5F"/>
    <w:rsid w:val="00267C83"/>
    <w:rsid w:val="00270C62"/>
    <w:rsid w:val="0027144F"/>
    <w:rsid w:val="00271A63"/>
    <w:rsid w:val="00271F3A"/>
    <w:rsid w:val="00273278"/>
    <w:rsid w:val="002737F4"/>
    <w:rsid w:val="00273D70"/>
    <w:rsid w:val="00273E0E"/>
    <w:rsid w:val="00273E84"/>
    <w:rsid w:val="00274620"/>
    <w:rsid w:val="00274BB8"/>
    <w:rsid w:val="00274C41"/>
    <w:rsid w:val="00274DFF"/>
    <w:rsid w:val="00276081"/>
    <w:rsid w:val="00276B67"/>
    <w:rsid w:val="0027709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A0A"/>
    <w:rsid w:val="00283C14"/>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5AC0"/>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17F2"/>
    <w:rsid w:val="002E1D24"/>
    <w:rsid w:val="002E1EFB"/>
    <w:rsid w:val="002E2A11"/>
    <w:rsid w:val="002E2B4D"/>
    <w:rsid w:val="002E368E"/>
    <w:rsid w:val="002E3791"/>
    <w:rsid w:val="002E4943"/>
    <w:rsid w:val="002E4F8E"/>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1E3"/>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864"/>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0C37"/>
    <w:rsid w:val="00402353"/>
    <w:rsid w:val="0040255D"/>
    <w:rsid w:val="00402580"/>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21"/>
    <w:rsid w:val="0041384A"/>
    <w:rsid w:val="00413AAC"/>
    <w:rsid w:val="00414AB1"/>
    <w:rsid w:val="00414C64"/>
    <w:rsid w:val="00414D54"/>
    <w:rsid w:val="00415426"/>
    <w:rsid w:val="00415E8A"/>
    <w:rsid w:val="00415EB0"/>
    <w:rsid w:val="004167C6"/>
    <w:rsid w:val="00416DDF"/>
    <w:rsid w:val="00416EC3"/>
    <w:rsid w:val="004179F7"/>
    <w:rsid w:val="00420180"/>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5B6A"/>
    <w:rsid w:val="00446488"/>
    <w:rsid w:val="0044658F"/>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500"/>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491"/>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F9F"/>
    <w:rsid w:val="0055688F"/>
    <w:rsid w:val="005574AF"/>
    <w:rsid w:val="005577C0"/>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35E"/>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0FD"/>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37F3"/>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3DA"/>
    <w:rsid w:val="005E385F"/>
    <w:rsid w:val="005E3E7C"/>
    <w:rsid w:val="005E4663"/>
    <w:rsid w:val="005E4FCF"/>
    <w:rsid w:val="005E53B7"/>
    <w:rsid w:val="005E5895"/>
    <w:rsid w:val="005E5B81"/>
    <w:rsid w:val="005E6492"/>
    <w:rsid w:val="005E7122"/>
    <w:rsid w:val="005E75AF"/>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DC9"/>
    <w:rsid w:val="00671E18"/>
    <w:rsid w:val="00671E79"/>
    <w:rsid w:val="0067218F"/>
    <w:rsid w:val="006728F1"/>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F53"/>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BFD"/>
    <w:rsid w:val="006C405C"/>
    <w:rsid w:val="006C43E6"/>
    <w:rsid w:val="006C4BBA"/>
    <w:rsid w:val="006C4E5C"/>
    <w:rsid w:val="006C5181"/>
    <w:rsid w:val="006C545C"/>
    <w:rsid w:val="006C54D5"/>
    <w:rsid w:val="006C58DF"/>
    <w:rsid w:val="006C59FF"/>
    <w:rsid w:val="006C5B25"/>
    <w:rsid w:val="006C5EC9"/>
    <w:rsid w:val="006C6059"/>
    <w:rsid w:val="006C63EB"/>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2C50"/>
    <w:rsid w:val="007540AD"/>
    <w:rsid w:val="007543CB"/>
    <w:rsid w:val="00755EC7"/>
    <w:rsid w:val="007565C6"/>
    <w:rsid w:val="00756F2A"/>
    <w:rsid w:val="007571E1"/>
    <w:rsid w:val="007575D7"/>
    <w:rsid w:val="00757F5E"/>
    <w:rsid w:val="007602E4"/>
    <w:rsid w:val="007604B2"/>
    <w:rsid w:val="00760AE5"/>
    <w:rsid w:val="00760C05"/>
    <w:rsid w:val="0076102A"/>
    <w:rsid w:val="007614DE"/>
    <w:rsid w:val="007619D7"/>
    <w:rsid w:val="00761C8C"/>
    <w:rsid w:val="007623FB"/>
    <w:rsid w:val="0076319A"/>
    <w:rsid w:val="00763B30"/>
    <w:rsid w:val="00764724"/>
    <w:rsid w:val="00764AF3"/>
    <w:rsid w:val="007651FB"/>
    <w:rsid w:val="00765281"/>
    <w:rsid w:val="00766881"/>
    <w:rsid w:val="00766BAD"/>
    <w:rsid w:val="00770099"/>
    <w:rsid w:val="00770226"/>
    <w:rsid w:val="00771706"/>
    <w:rsid w:val="00771AA0"/>
    <w:rsid w:val="00771F31"/>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3D6"/>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B1"/>
    <w:rsid w:val="00795C92"/>
    <w:rsid w:val="00795D9E"/>
    <w:rsid w:val="0079631A"/>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AA0"/>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0C9"/>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033"/>
    <w:rsid w:val="008443C2"/>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13"/>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1EE7"/>
    <w:rsid w:val="008B2932"/>
    <w:rsid w:val="008B4535"/>
    <w:rsid w:val="008B45A3"/>
    <w:rsid w:val="008B4D4B"/>
    <w:rsid w:val="008B5156"/>
    <w:rsid w:val="008B51A0"/>
    <w:rsid w:val="008B592A"/>
    <w:rsid w:val="008B5D1A"/>
    <w:rsid w:val="008B6276"/>
    <w:rsid w:val="008B7465"/>
    <w:rsid w:val="008B7758"/>
    <w:rsid w:val="008B7B5C"/>
    <w:rsid w:val="008B7CAF"/>
    <w:rsid w:val="008C0174"/>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D76F5"/>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5F4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B2A"/>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E2C"/>
    <w:rsid w:val="00933367"/>
    <w:rsid w:val="00933E80"/>
    <w:rsid w:val="00934396"/>
    <w:rsid w:val="009349BB"/>
    <w:rsid w:val="00934A4B"/>
    <w:rsid w:val="00935A7F"/>
    <w:rsid w:val="009408F8"/>
    <w:rsid w:val="00940C00"/>
    <w:rsid w:val="00941636"/>
    <w:rsid w:val="0094165A"/>
    <w:rsid w:val="00942260"/>
    <w:rsid w:val="00942743"/>
    <w:rsid w:val="00942D57"/>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2B"/>
    <w:rsid w:val="009A747D"/>
    <w:rsid w:val="009A753B"/>
    <w:rsid w:val="009A755E"/>
    <w:rsid w:val="009B0D91"/>
    <w:rsid w:val="009B1244"/>
    <w:rsid w:val="009B1ADF"/>
    <w:rsid w:val="009B1B1A"/>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21CA"/>
    <w:rsid w:val="00A02377"/>
    <w:rsid w:val="00A0276F"/>
    <w:rsid w:val="00A02D6D"/>
    <w:rsid w:val="00A02FBF"/>
    <w:rsid w:val="00A0325B"/>
    <w:rsid w:val="00A03A96"/>
    <w:rsid w:val="00A04232"/>
    <w:rsid w:val="00A04367"/>
    <w:rsid w:val="00A043E4"/>
    <w:rsid w:val="00A047D2"/>
    <w:rsid w:val="00A048A8"/>
    <w:rsid w:val="00A04968"/>
    <w:rsid w:val="00A04DCB"/>
    <w:rsid w:val="00A05B47"/>
    <w:rsid w:val="00A06DB0"/>
    <w:rsid w:val="00A079D6"/>
    <w:rsid w:val="00A07FBE"/>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CAE"/>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6D62"/>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6652"/>
    <w:rsid w:val="00A871A3"/>
    <w:rsid w:val="00A8722C"/>
    <w:rsid w:val="00A8722D"/>
    <w:rsid w:val="00A877A9"/>
    <w:rsid w:val="00A87BC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640"/>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150B"/>
    <w:rsid w:val="00AE1722"/>
    <w:rsid w:val="00AE1849"/>
    <w:rsid w:val="00AE19F1"/>
    <w:rsid w:val="00AE27AA"/>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46"/>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5A52"/>
    <w:rsid w:val="00B46175"/>
    <w:rsid w:val="00B471A5"/>
    <w:rsid w:val="00B47435"/>
    <w:rsid w:val="00B477B8"/>
    <w:rsid w:val="00B47803"/>
    <w:rsid w:val="00B4791A"/>
    <w:rsid w:val="00B47C29"/>
    <w:rsid w:val="00B47D21"/>
    <w:rsid w:val="00B50916"/>
    <w:rsid w:val="00B50AA9"/>
    <w:rsid w:val="00B51008"/>
    <w:rsid w:val="00B51031"/>
    <w:rsid w:val="00B51D73"/>
    <w:rsid w:val="00B52318"/>
    <w:rsid w:val="00B5286A"/>
    <w:rsid w:val="00B53485"/>
    <w:rsid w:val="00B537CE"/>
    <w:rsid w:val="00B547C4"/>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6456"/>
    <w:rsid w:val="00B664BF"/>
    <w:rsid w:val="00B664C7"/>
    <w:rsid w:val="00B66F4E"/>
    <w:rsid w:val="00B7019D"/>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E34"/>
    <w:rsid w:val="00B92CED"/>
    <w:rsid w:val="00B92FF8"/>
    <w:rsid w:val="00B93454"/>
    <w:rsid w:val="00B93A56"/>
    <w:rsid w:val="00B93B59"/>
    <w:rsid w:val="00B93E70"/>
    <w:rsid w:val="00B9406A"/>
    <w:rsid w:val="00B94676"/>
    <w:rsid w:val="00B94B31"/>
    <w:rsid w:val="00B94CF9"/>
    <w:rsid w:val="00B95811"/>
    <w:rsid w:val="00B95C20"/>
    <w:rsid w:val="00B95DF2"/>
    <w:rsid w:val="00B95EE9"/>
    <w:rsid w:val="00B9659A"/>
    <w:rsid w:val="00B973A5"/>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3B9E"/>
    <w:rsid w:val="00C040F7"/>
    <w:rsid w:val="00C044AB"/>
    <w:rsid w:val="00C04C9F"/>
    <w:rsid w:val="00C05458"/>
    <w:rsid w:val="00C05706"/>
    <w:rsid w:val="00C06071"/>
    <w:rsid w:val="00C061E5"/>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26CD"/>
    <w:rsid w:val="00C22A66"/>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F63"/>
    <w:rsid w:val="00CB2067"/>
    <w:rsid w:val="00CB37DE"/>
    <w:rsid w:val="00CB4899"/>
    <w:rsid w:val="00CB4AFF"/>
    <w:rsid w:val="00CB4D5A"/>
    <w:rsid w:val="00CB4EF3"/>
    <w:rsid w:val="00CB63CF"/>
    <w:rsid w:val="00CB6855"/>
    <w:rsid w:val="00CB6997"/>
    <w:rsid w:val="00CB78A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28B"/>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D4B"/>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3C0"/>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456B"/>
    <w:rsid w:val="00DD5082"/>
    <w:rsid w:val="00DD6064"/>
    <w:rsid w:val="00DD698D"/>
    <w:rsid w:val="00DD72E3"/>
    <w:rsid w:val="00DD7314"/>
    <w:rsid w:val="00DD7666"/>
    <w:rsid w:val="00DD781B"/>
    <w:rsid w:val="00DD7E75"/>
    <w:rsid w:val="00DE0B58"/>
    <w:rsid w:val="00DE110B"/>
    <w:rsid w:val="00DE11C9"/>
    <w:rsid w:val="00DE1D9D"/>
    <w:rsid w:val="00DE1E23"/>
    <w:rsid w:val="00DE1E69"/>
    <w:rsid w:val="00DE1F4C"/>
    <w:rsid w:val="00DE23DC"/>
    <w:rsid w:val="00DE3510"/>
    <w:rsid w:val="00DE3A4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B9F"/>
    <w:rsid w:val="00DF5CEF"/>
    <w:rsid w:val="00DF5F19"/>
    <w:rsid w:val="00DF6729"/>
    <w:rsid w:val="00DF695B"/>
    <w:rsid w:val="00DF6C7A"/>
    <w:rsid w:val="00DF6FCF"/>
    <w:rsid w:val="00DF717D"/>
    <w:rsid w:val="00DF7DB1"/>
    <w:rsid w:val="00DF7F58"/>
    <w:rsid w:val="00E00F27"/>
    <w:rsid w:val="00E013F8"/>
    <w:rsid w:val="00E01521"/>
    <w:rsid w:val="00E015F1"/>
    <w:rsid w:val="00E01C79"/>
    <w:rsid w:val="00E0203C"/>
    <w:rsid w:val="00E022FC"/>
    <w:rsid w:val="00E02F50"/>
    <w:rsid w:val="00E03378"/>
    <w:rsid w:val="00E03651"/>
    <w:rsid w:val="00E04BB2"/>
    <w:rsid w:val="00E05500"/>
    <w:rsid w:val="00E060FC"/>
    <w:rsid w:val="00E068E9"/>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3EA7"/>
    <w:rsid w:val="00E3484E"/>
    <w:rsid w:val="00E34B6E"/>
    <w:rsid w:val="00E35236"/>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502"/>
    <w:rsid w:val="00E65D80"/>
    <w:rsid w:val="00E66A77"/>
    <w:rsid w:val="00E66A97"/>
    <w:rsid w:val="00E67C51"/>
    <w:rsid w:val="00E67C6C"/>
    <w:rsid w:val="00E67E5D"/>
    <w:rsid w:val="00E703CA"/>
    <w:rsid w:val="00E70E4F"/>
    <w:rsid w:val="00E71515"/>
    <w:rsid w:val="00E71A10"/>
    <w:rsid w:val="00E71B86"/>
    <w:rsid w:val="00E72EFC"/>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8C9"/>
    <w:rsid w:val="00EE0624"/>
    <w:rsid w:val="00EE0D13"/>
    <w:rsid w:val="00EE1F98"/>
    <w:rsid w:val="00EE280C"/>
    <w:rsid w:val="00EE28F5"/>
    <w:rsid w:val="00EE35AB"/>
    <w:rsid w:val="00EE385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145"/>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7FA"/>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4CFB"/>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438"/>
    <w:rsid w:val="00F674B2"/>
    <w:rsid w:val="00F67E37"/>
    <w:rsid w:val="00F67F53"/>
    <w:rsid w:val="00F70104"/>
    <w:rsid w:val="00F703BE"/>
    <w:rsid w:val="00F706AB"/>
    <w:rsid w:val="00F71F69"/>
    <w:rsid w:val="00F72126"/>
    <w:rsid w:val="00F72B72"/>
    <w:rsid w:val="00F73595"/>
    <w:rsid w:val="00F7375A"/>
    <w:rsid w:val="00F745E4"/>
    <w:rsid w:val="00F74BB9"/>
    <w:rsid w:val="00F75582"/>
    <w:rsid w:val="00F755A8"/>
    <w:rsid w:val="00F75791"/>
    <w:rsid w:val="00F75A12"/>
    <w:rsid w:val="00F7663B"/>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556E"/>
    <w:rsid w:val="00F95D4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F00"/>
    <w:rsid w:val="00FB0AB2"/>
    <w:rsid w:val="00FB0E2A"/>
    <w:rsid w:val="00FB12E4"/>
    <w:rsid w:val="00FB1640"/>
    <w:rsid w:val="00FB1B76"/>
    <w:rsid w:val="00FB1D3A"/>
    <w:rsid w:val="00FB2011"/>
    <w:rsid w:val="00FB250B"/>
    <w:rsid w:val="00FB26DB"/>
    <w:rsid w:val="00FB3344"/>
    <w:rsid w:val="00FB3775"/>
    <w:rsid w:val="00FB3CA6"/>
    <w:rsid w:val="00FB413D"/>
    <w:rsid w:val="00FB4C80"/>
    <w:rsid w:val="00FB5944"/>
    <w:rsid w:val="00FB5AE1"/>
    <w:rsid w:val="00FB6087"/>
    <w:rsid w:val="00FB66F4"/>
    <w:rsid w:val="00FB6BA8"/>
    <w:rsid w:val="00FB7389"/>
    <w:rsid w:val="00FB7986"/>
    <w:rsid w:val="00FC0B9E"/>
    <w:rsid w:val="00FC186B"/>
    <w:rsid w:val="00FC1DCB"/>
    <w:rsid w:val="00FC2019"/>
    <w:rsid w:val="00FC2E17"/>
    <w:rsid w:val="00FC3355"/>
    <w:rsid w:val="00FC3620"/>
    <w:rsid w:val="00FC4002"/>
    <w:rsid w:val="00FC4B11"/>
    <w:rsid w:val="00FC4B8F"/>
    <w:rsid w:val="00FC5231"/>
    <w:rsid w:val="00FC58D4"/>
    <w:rsid w:val="00FC5A27"/>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CB2"/>
    <w:rsid w:val="00FF1F6E"/>
    <w:rsid w:val="00FF302A"/>
    <w:rsid w:val="00FF310E"/>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56B"/>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D45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56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A60FD"/>
    <w:pPr>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A60FD"/>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cs="Times New Roman"/>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converted-space">
    <w:name w:val="apple-converted-space"/>
    <w:basedOn w:val="DefaultParagraphFont"/>
    <w:rsid w:val="00400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5369858">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2020-10-16T18:42:00Z</dcterms:created>
  <dcterms:modified xsi:type="dcterms:W3CDTF">2020-10-16T23:15:00Z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